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b/>
          <w:sz w:val="24"/>
          <w:szCs w:val="24"/>
          <w:lang w:val="ru-RU"/>
        </w:rPr>
      </w:pPr>
      <w:r w:rsidRPr="00A207FF">
        <w:rPr>
          <w:rFonts w:ascii="Cambria" w:eastAsia="Times New Roman" w:hAnsi="Cambria"/>
          <w:b/>
          <w:sz w:val="24"/>
          <w:szCs w:val="24"/>
          <w:lang w:val="ru-RU"/>
        </w:rPr>
        <w:t>Пояснительная записка</w:t>
      </w:r>
    </w:p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Физическая культура — обязательный учебный курс в обще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 xml:space="preserve">образовательных учреждениях. </w:t>
      </w:r>
      <w:r w:rsidR="005D2FF8" w:rsidRPr="00A207FF"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Дополнительными занятиями с учащимися по баскетболу в со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четании с другими формами обучения — физкультурно-оздоро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вительными мероприятиями в режиме учебного дня, физкультурно-массовыми и спортивными мероприяти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ями (дни здоровья и спорта,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ности. Она включает в себя мотивацию и потребность в систе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матических занятиях физической культурой и спортом, овладе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  В Федеральном законе «О физической культуре и спорте» от 4 декабря 2007 г. №</w:t>
      </w:r>
      <w:r w:rsidRPr="00A207FF">
        <w:rPr>
          <w:rFonts w:ascii="Cambria" w:eastAsia="Times New Roman" w:hAnsi="Cambria"/>
          <w:sz w:val="24"/>
          <w:szCs w:val="24"/>
        </w:rPr>
        <w:t> 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329–Ф3 отмечено, что организация фи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зического воспитания и образования в образовательных учреж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разовательными стандартами, а также дополнительных (фа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</w:p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="005D2FF8" w:rsidRPr="00A207FF">
        <w:rPr>
          <w:rFonts w:ascii="Cambria" w:eastAsia="Times New Roman" w:hAnsi="Cambria"/>
          <w:sz w:val="24"/>
          <w:szCs w:val="24"/>
          <w:lang w:val="ru-RU"/>
        </w:rPr>
        <w:t>Программа по баскетболу предназначена для спортивных секций общеобразовательных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общеобразовательных учреждений и</w:t>
      </w: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на создавать максимально благоприятные условия для раскры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тия и развития не только физических, но и духовных способ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ностей ребёнка, его самоопределения.</w:t>
      </w:r>
    </w:p>
    <w:p w:rsidR="005D2FF8" w:rsidRPr="00A207FF" w:rsidRDefault="005D2FF8" w:rsidP="005D2FF8">
      <w:pPr>
        <w:pStyle w:val="aa"/>
        <w:spacing w:line="276" w:lineRule="auto"/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hAnsi="Cambria"/>
          <w:sz w:val="24"/>
          <w:szCs w:val="24"/>
          <w:lang w:val="ru-RU"/>
        </w:rPr>
        <w:t>Рабочая программа для спортивной секции по баскетболу разработана на основе пособия А.И. Каинова «Организация работы спортивных секций в школе: программы, рекомендации» Волгоград: Учитель — 2014г.  в соответствии с ФГОС.</w:t>
      </w:r>
    </w:p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i/>
          <w:iCs/>
          <w:sz w:val="24"/>
          <w:szCs w:val="24"/>
          <w:lang w:val="ru-RU"/>
        </w:rPr>
        <w:t xml:space="preserve">   </w:t>
      </w:r>
      <w:r w:rsidRPr="00A207FF">
        <w:rPr>
          <w:rFonts w:ascii="Cambria" w:eastAsia="Times New Roman" w:hAnsi="Cambria"/>
          <w:b/>
          <w:i/>
          <w:iCs/>
          <w:sz w:val="24"/>
          <w:szCs w:val="24"/>
          <w:lang w:val="ru-RU"/>
        </w:rPr>
        <w:t xml:space="preserve">Целью </w:t>
      </w:r>
      <w:r w:rsidRPr="00A207FF">
        <w:rPr>
          <w:rFonts w:ascii="Cambria" w:eastAsia="Times New Roman" w:hAnsi="Cambria"/>
          <w:b/>
          <w:sz w:val="24"/>
          <w:szCs w:val="24"/>
          <w:lang w:val="ru-RU"/>
        </w:rPr>
        <w:t>рабочей программы</w:t>
      </w: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является форми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75C77" w:rsidRPr="00A207FF" w:rsidRDefault="00D75C77" w:rsidP="005D2FF8">
      <w:pPr>
        <w:pStyle w:val="aa"/>
        <w:spacing w:line="276" w:lineRule="auto"/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  Реализация цели рабочей программы соотносится с реше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нием следующих образовательных</w:t>
      </w:r>
      <w:r w:rsidRPr="00A207FF">
        <w:rPr>
          <w:rFonts w:ascii="Cambria" w:eastAsia="Times New Roman" w:hAnsi="Cambria"/>
          <w:b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b/>
          <w:i/>
          <w:iCs/>
          <w:sz w:val="24"/>
          <w:szCs w:val="24"/>
          <w:lang w:val="ru-RU"/>
        </w:rPr>
        <w:t>задач: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укрепление здоровья, улучшение осанки, профилактика плоскостопия, содействие гармоничному физическому, нрав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ственному и социальному развитию, успешному обучению;</w:t>
      </w:r>
    </w:p>
    <w:p w:rsidR="00D75C77" w:rsidRPr="00A207FF" w:rsidRDefault="00D75C77" w:rsidP="00C14C4D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формирование первоначальных умений саморегуляции средствами физической культуры;</w:t>
      </w:r>
      <w:r w:rsidR="00A207FF" w:rsidRPr="00A207FF"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овладение школой движений;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сти реагирования на сигналы, согласования движений, ориен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D75C77" w:rsidRPr="00A207FF" w:rsidRDefault="00B923E8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ф</w:t>
      </w:r>
      <w:r w:rsidR="00D75C77" w:rsidRPr="00A207FF">
        <w:rPr>
          <w:rFonts w:ascii="Cambria" w:eastAsia="Times New Roman" w:hAnsi="Cambria"/>
          <w:sz w:val="24"/>
          <w:szCs w:val="24"/>
          <w:lang w:val="ru-RU"/>
        </w:rPr>
        <w:t>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="00D75C77" w:rsidRPr="00A207FF">
        <w:rPr>
          <w:rFonts w:ascii="Cambria" w:eastAsia="Times New Roman" w:hAnsi="Cambria"/>
          <w:sz w:val="24"/>
          <w:szCs w:val="24"/>
          <w:lang w:val="ru-RU"/>
        </w:rPr>
        <w:softHyphen/>
        <w:t>национных и кондиционных) способностей;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выработка представлений о баскетболе, о соблюдении правил техники безопасности во время занятий;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lastRenderedPageBreak/>
        <w:t>формирование установки на сохранение и укрепление здо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ровья, навыков здорового и безопасного образа жизни;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приобщение к самостоятельным занятиям физическими упражнениями, спортивными играми, использование их в сво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бодное время на основе формирования интересов к определён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ным видам двигательной активности и выявления предраспо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ложенности к баскетболу;</w:t>
      </w:r>
    </w:p>
    <w:p w:rsidR="00D75C77" w:rsidRPr="00A207FF" w:rsidRDefault="00D75C77" w:rsidP="005D2FF8">
      <w:pPr>
        <w:pStyle w:val="a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витию психических процессов (представления, памяти, мыш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ления и др.) в ходе двигательной деятельности.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b/>
          <w:sz w:val="24"/>
          <w:szCs w:val="24"/>
          <w:lang w:val="ru-RU"/>
        </w:rPr>
      </w:pPr>
      <w:r w:rsidRPr="00A207FF">
        <w:rPr>
          <w:rFonts w:ascii="Cambria" w:eastAsia="Times New Roman" w:hAnsi="Cambria"/>
          <w:b/>
          <w:sz w:val="24"/>
          <w:szCs w:val="24"/>
          <w:lang w:val="ru-RU"/>
        </w:rPr>
        <w:t>Содержание программы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A207FF" w:rsidRPr="00A207FF" w:rsidRDefault="00A207FF" w:rsidP="00A207FF">
      <w:pPr>
        <w:pStyle w:val="aa"/>
        <w:numPr>
          <w:ilvl w:val="0"/>
          <w:numId w:val="3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 разделе «Основы знаний» представлен материал по исто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рии развития баскетбола, правила соревнований.</w:t>
      </w:r>
    </w:p>
    <w:p w:rsidR="00A207FF" w:rsidRPr="00A207FF" w:rsidRDefault="00A207FF" w:rsidP="00A207FF">
      <w:pPr>
        <w:pStyle w:val="aa"/>
        <w:numPr>
          <w:ilvl w:val="0"/>
          <w:numId w:val="3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A207FF" w:rsidRPr="00A207FF" w:rsidRDefault="00A207FF" w:rsidP="00A207FF">
      <w:pPr>
        <w:pStyle w:val="aa"/>
        <w:numPr>
          <w:ilvl w:val="0"/>
          <w:numId w:val="3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 разделе «Техника и тактика игры» представлен материал, способствующий обучению техническим и тактическим прие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мам игры.</w:t>
      </w:r>
    </w:p>
    <w:p w:rsidR="00A207FF" w:rsidRPr="00A207FF" w:rsidRDefault="00A207FF" w:rsidP="00A207FF">
      <w:pPr>
        <w:pStyle w:val="aa"/>
        <w:numPr>
          <w:ilvl w:val="0"/>
          <w:numId w:val="3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В конце обучения по программе учащиеся должны знать правила игры и принимать участие в соревнованиях.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Содержание самостоятельной работы включает в себя вы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полнение комплексов упражнений для повышения общей и спе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циальной физической подготовки.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b/>
          <w:sz w:val="24"/>
          <w:szCs w:val="24"/>
          <w:lang w:val="ru-RU"/>
        </w:rPr>
      </w:pPr>
      <w:r w:rsidRPr="00A207FF">
        <w:rPr>
          <w:rFonts w:ascii="Cambria" w:eastAsia="Times New Roman" w:hAnsi="Cambria"/>
          <w:b/>
          <w:sz w:val="24"/>
          <w:szCs w:val="24"/>
          <w:lang w:val="ru-RU"/>
        </w:rPr>
        <w:t>Методы и формы обучения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Большие возможности для учебно-воспитательной работы заложены в принципе совместной деятельности учителя и уче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ника. Занятия необходимо строить так, чтобы учащиеся сами находили нужное решение, опираясь на свой опыт, полученные знания и умения.</w:t>
      </w:r>
      <w:r w:rsidRPr="00A207FF">
        <w:rPr>
          <w:rFonts w:ascii="Cambria" w:eastAsia="Times New Roman" w:hAnsi="Cambria"/>
          <w:b/>
          <w:sz w:val="24"/>
          <w:szCs w:val="24"/>
          <w:lang w:val="ru-RU"/>
        </w:rPr>
        <w:t xml:space="preserve"> Занятия по технической, тактической, обще</w:t>
      </w:r>
      <w:r w:rsidRPr="00A207FF">
        <w:rPr>
          <w:rFonts w:ascii="Cambria" w:eastAsia="Times New Roman" w:hAnsi="Cambria"/>
          <w:b/>
          <w:sz w:val="24"/>
          <w:szCs w:val="24"/>
          <w:lang w:val="ru-RU"/>
        </w:rPr>
        <w:softHyphen/>
        <w:t>физической подготовке проводятся в режиме учебно-тренировочных по 2 часа в неделю.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Теорию проходят в процессе учебно-тренировочных заня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тий, также выделяют и отдельные занятия-семинары по судей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ству, где подробно разбирается содержание правил игры, игро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вые ситуации, жесты судей.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>Для повышения интереса занимающихся к занятиям баскет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болом и более успешного решения образовательных, воспита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тельных и оздоровительных задач рекомендуется применять разнообразные формы и методы проведения этих занятий. 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b/>
          <w:bCs/>
          <w:sz w:val="24"/>
          <w:szCs w:val="24"/>
          <w:lang w:val="ru-RU"/>
        </w:rPr>
        <w:t>Наглядные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 методы: применяются главным образом в виде показа упражнения, наглядных пособий, видеофильмов. Эти ме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тоды помогают создать у учеников конкретные представления об изучаемых действиях.</w:t>
      </w: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b/>
          <w:bCs/>
          <w:sz w:val="24"/>
          <w:szCs w:val="24"/>
          <w:lang w:val="ru-RU"/>
        </w:rPr>
        <w:t>Практические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 методы: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метод упражнений;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игровой;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соревновательный,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круговой тренировки.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Главным из них является метод упражнений, который пре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дусматривает многократные повторения движений.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Разучивание упражнений 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осуществляется двумя методами: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в целом, по частям.</w:t>
      </w:r>
      <w:r>
        <w:rPr>
          <w:rFonts w:ascii="Cambria" w:eastAsia="Times New Roman" w:hAnsi="Cambria"/>
          <w:sz w:val="24"/>
          <w:szCs w:val="24"/>
          <w:lang w:val="ru-RU"/>
        </w:rPr>
        <w:t xml:space="preserve"> </w:t>
      </w:r>
      <w:r w:rsidRPr="00A207FF">
        <w:rPr>
          <w:rFonts w:ascii="Cambria" w:eastAsia="Times New Roman" w:hAnsi="Cambria"/>
          <w:sz w:val="24"/>
          <w:szCs w:val="24"/>
          <w:lang w:val="ru-RU"/>
        </w:rPr>
        <w:t>Игровой и соревновательный методы применяются после то</w:t>
      </w:r>
      <w:r w:rsidRPr="00A207FF">
        <w:rPr>
          <w:rFonts w:ascii="Cambria" w:eastAsia="Times New Roman" w:hAnsi="Cambria"/>
          <w:sz w:val="24"/>
          <w:szCs w:val="24"/>
          <w:lang w:val="ru-RU"/>
        </w:rPr>
        <w:softHyphen/>
        <w:t>го, как у учащихся образовались некоторые навыки игры.</w:t>
      </w:r>
    </w:p>
    <w:p w:rsid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</w:p>
    <w:p w:rsidR="008111EE" w:rsidRDefault="008111EE" w:rsidP="008111EE">
      <w:pPr>
        <w:pStyle w:val="aa"/>
        <w:spacing w:line="276" w:lineRule="auto"/>
        <w:ind w:firstLine="567"/>
        <w:jc w:val="center"/>
        <w:rPr>
          <w:rFonts w:ascii="Cambria" w:eastAsia="Times New Roman" w:hAnsi="Cambria"/>
          <w:b/>
          <w:sz w:val="24"/>
          <w:szCs w:val="24"/>
          <w:lang w:val="ru-RU"/>
        </w:rPr>
      </w:pPr>
      <w:r>
        <w:rPr>
          <w:rFonts w:ascii="Cambria" w:eastAsia="Times New Roman" w:hAnsi="Cambria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8111EE" w:rsidRPr="008111EE" w:rsidRDefault="008111EE" w:rsidP="008111EE">
      <w:pPr>
        <w:pStyle w:val="aa"/>
        <w:spacing w:line="276" w:lineRule="auto"/>
        <w:ind w:firstLine="567"/>
        <w:jc w:val="center"/>
        <w:rPr>
          <w:rFonts w:ascii="Cambria" w:eastAsia="Times New Roman" w:hAnsi="Cambria"/>
          <w:b/>
          <w:sz w:val="24"/>
          <w:szCs w:val="24"/>
          <w:lang w:val="ru-RU"/>
        </w:rPr>
      </w:pP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1447"/>
        <w:gridCol w:w="1087"/>
        <w:gridCol w:w="2428"/>
        <w:gridCol w:w="5494"/>
      </w:tblGrid>
      <w:tr w:rsidR="00A207FF" w:rsidRPr="00A207FF" w:rsidTr="00A207FF">
        <w:trPr>
          <w:trHeight w:val="324"/>
        </w:trPr>
        <w:tc>
          <w:tcPr>
            <w:tcW w:w="692" w:type="pct"/>
            <w:vMerge w:val="restart"/>
            <w:shd w:val="clear" w:color="auto" w:fill="F2DBDB" w:themeFill="accent2" w:themeFillTint="33"/>
          </w:tcPr>
          <w:p w:rsidR="00A207FF" w:rsidRDefault="00A207FF" w:rsidP="00A207FF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207FF">
              <w:rPr>
                <w:rFonts w:ascii="Cambria" w:hAnsi="Cambria"/>
                <w:b/>
                <w:sz w:val="24"/>
                <w:szCs w:val="24"/>
              </w:rPr>
              <w:t xml:space="preserve">№ </w:t>
            </w:r>
          </w:p>
          <w:p w:rsidR="00A207FF" w:rsidRPr="00A207FF" w:rsidRDefault="00A207FF" w:rsidP="00A207FF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20" w:type="pct"/>
            <w:vMerge w:val="restart"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61" w:type="pct"/>
            <w:vMerge w:val="restart"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627" w:type="pct"/>
            <w:vMerge w:val="restart"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b/>
                <w:sz w:val="24"/>
                <w:szCs w:val="24"/>
              </w:rPr>
              <w:t>содержание</w:t>
            </w:r>
            <w:proofErr w:type="spellEnd"/>
            <w:r w:rsidRPr="00A207F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b/>
                <w:sz w:val="24"/>
                <w:szCs w:val="24"/>
              </w:rPr>
              <w:t>материала</w:t>
            </w:r>
            <w:proofErr w:type="spellEnd"/>
          </w:p>
        </w:tc>
      </w:tr>
      <w:tr w:rsidR="00A207FF" w:rsidRPr="00A207FF" w:rsidTr="00A207FF">
        <w:trPr>
          <w:trHeight w:val="343"/>
        </w:trPr>
        <w:tc>
          <w:tcPr>
            <w:tcW w:w="692" w:type="pct"/>
            <w:vMerge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0" w:type="pct"/>
            <w:vMerge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  <w:vMerge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27" w:type="pct"/>
            <w:vMerge/>
            <w:shd w:val="clear" w:color="auto" w:fill="F2DBDB" w:themeFill="accent2" w:themeFillTint="33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207FF" w:rsidRPr="00A207FF" w:rsidTr="00A207FF">
        <w:trPr>
          <w:trHeight w:val="149"/>
        </w:trPr>
        <w:tc>
          <w:tcPr>
            <w:tcW w:w="5000" w:type="pct"/>
            <w:gridSpan w:val="4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b/>
                <w:i/>
                <w:sz w:val="24"/>
                <w:szCs w:val="24"/>
              </w:rPr>
              <w:t>ОФП</w:t>
            </w:r>
            <w:r w:rsidRPr="00A207FF"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  <w:t xml:space="preserve"> – 8 часов</w:t>
            </w:r>
          </w:p>
        </w:tc>
      </w:tr>
      <w:tr w:rsidR="00A207FF" w:rsidRPr="00A207FF" w:rsidTr="00A207FF">
        <w:trPr>
          <w:trHeight w:val="1386"/>
        </w:trPr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№1-2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Строевые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упражнения</w:t>
            </w:r>
            <w:proofErr w:type="spellEnd"/>
          </w:p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Повороты на месте, размыкание уступами. Перестроение из одной шеренги в две, из колонны по одному в колонну по два.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Обозначение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шага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месте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Повороты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в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движении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№3-5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 xml:space="preserve">ОРУ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без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предметов</w:t>
            </w:r>
            <w:proofErr w:type="spellEnd"/>
          </w:p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Упражнения для рук и плечевого пояса, для мышц шеи, для туловища и ног.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Упражнения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сопротивлением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№6-8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Подвижные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игры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и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Игры с мячом; игры с бегом, прыжками, метанием. Эстафеты встречные и круговые с преодолением полосы препятствий из гимнастических снарядов.</w:t>
            </w:r>
          </w:p>
        </w:tc>
      </w:tr>
      <w:tr w:rsidR="00A207FF" w:rsidRPr="00A207FF" w:rsidTr="00A207FF">
        <w:tc>
          <w:tcPr>
            <w:tcW w:w="5000" w:type="pct"/>
            <w:gridSpan w:val="4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  <w:t>Специальная подготовка 16 часов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№9-11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Ведение мяча правой левой рукой.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Передвижение бегом. Приставные шаги. Остановка прыжком в два шага.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Ведение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мяча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по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прямой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изменением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направления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и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скорости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№12-16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Передача мяча одной рукой от плеча. Пере дача мяча двумя рука ми от груди.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Передача мяча снизу одной рукой на месте, передача мяча одной рукой от плеча по высокой траектории на расстоянии 12-16 метров с места, а затем в движении. Передача мяча от груди в тройках двумя руками в движении по восьмерки, бросок от груди, бросок снизу двумя руками.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№17-19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Ловля и передача мяча двумя руками и одной рукой при передвижениях игроков в парах и тройках.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Ловля высоколетящих мячей в прыжке, на месте, в движении. Ловля и передача мяча двумя руками в движении - используя три шага. Передача мяча на месте с отскоком от пола и ловля мяча. Передача и ловля мяча при встречном движении и с отскоком от пола.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№20-21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Штрафной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бросок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Броски в корзину от головы.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Учащийся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выполняет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15-20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бросков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№22-24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Броски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в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корзину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Броски в движении после двух шагов. Броски в корзину в прыжке с дальней и средней дистанции. Бросок мяча одной рукой в прыжке с поворотом до 180 градусов.</w:t>
            </w:r>
          </w:p>
        </w:tc>
      </w:tr>
      <w:tr w:rsidR="00A207FF" w:rsidRPr="00A207FF" w:rsidTr="00A207FF">
        <w:tc>
          <w:tcPr>
            <w:tcW w:w="5000" w:type="pct"/>
            <w:gridSpan w:val="4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  <w:t>Техническая подготовка 24 часа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№25-30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Техника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нападения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Техника передвижения. Основная стойка баскетболиста. Повороты в движении с сочетанием способов передвижения. Передвижение переставным шагом, сочетание передвижений, остановок поворотов. Бег с изменением направле</w:t>
            </w: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lastRenderedPageBreak/>
              <w:t>ния и скорости из различных исходных положений. Прыжки толчком двух ног, толчком одной ноги. Техника владения мячом, ведение мяча с высоким отскоком, с низким отскоком.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lastRenderedPageBreak/>
              <w:t>№31-36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Техника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Стойка защитника: одна нога выставлена вперед, ноги расставлены на одной линии. Ведение мяча с изменением высоты отскока и скорости передвижения. Обманные действия, передача мяча скрытые (назад, вправо, влево</w:t>
            </w:r>
            <w:r>
              <w:rPr>
                <w:rFonts w:ascii="Cambria" w:hAnsi="Cambria"/>
                <w:sz w:val="24"/>
                <w:szCs w:val="24"/>
                <w:lang w:val="ru-RU"/>
              </w:rPr>
              <w:t>). Передача мяча одной рукой из</w:t>
            </w: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-за спины. Действия защитника в обороне, в нападении. 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№37-42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Техника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овладения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Вырывание мяча. Выбивание мяча. Перехват мяча. Накрывание мяча при броске с места, овладение мячом, отскочившим от кольца. Выбивание мяча при ведении, перехват мяча при ведении. Перехват мяча в движении в стойке защитника, в роли нападающего. Обводка противника способом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прикрывания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 мяча корпусом.</w:t>
            </w:r>
          </w:p>
        </w:tc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№43-48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Техника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передвижения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Перемещение к стойке защитника вперед, в стороны, назад. Сочетание способов передвижения с техническими приемами игры в защите. Ведение мяча, обводка противника без зрительного контроля. Обманные действия: финт на рывок, финт на бросок, финт на проход. Передачи мяча в движении скрытые (назад, вправо, влево). Ведение мяча с изменением направления движения и с изменением высоты отскока и скорости передвижения, обводка противника с изменением скорости.</w:t>
            </w:r>
          </w:p>
        </w:tc>
      </w:tr>
      <w:tr w:rsidR="008111EE" w:rsidRPr="00A207FF" w:rsidTr="008111EE">
        <w:trPr>
          <w:trHeight w:val="218"/>
        </w:trPr>
        <w:tc>
          <w:tcPr>
            <w:tcW w:w="5000" w:type="pct"/>
            <w:gridSpan w:val="4"/>
          </w:tcPr>
          <w:p w:rsidR="008111EE" w:rsidRPr="008111EE" w:rsidRDefault="008111EE" w:rsidP="00A207FF">
            <w:pPr>
              <w:pStyle w:val="aa"/>
              <w:spacing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  <w:lang w:val="ru-RU"/>
              </w:rPr>
              <w:t>Тактическая подготовка 21 час</w:t>
            </w:r>
          </w:p>
        </w:tc>
      </w:tr>
      <w:tr w:rsidR="00A207FF" w:rsidRPr="008A412E" w:rsidTr="00A207FF">
        <w:trPr>
          <w:trHeight w:val="1919"/>
        </w:trPr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№49-52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Тактика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нападения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Индивидуальные действия, выход на свободное место с целью атаки и получения мяча. Выбор способа ловли мяча. Применение изученных приемов техники нападения в зависимости от ситуации на площадке. Финты с мячом на ведение, на передачу, на бросок с последующим ведением, передачи, броском.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№53-57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Групповые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действия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A207FF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Взаимодействие двух игроков -"передай мяч - выходи" Взаимодействие трех игроков -"треугольник". Взаимодействие двух нападающих против одного защитника "2-1". Взаимодействие двух нападающих против трех защитников, "тройка",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скрестный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 выход, малая восьмерка, пересечение, наведение, большая восьмерка.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Нападение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быстрым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прорывом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взаимодействие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двух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игроков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заслонами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lastRenderedPageBreak/>
              <w:t>№58-63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Командные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действия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8111EE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Организация командных действий по принципу выхода на свободное место. Нападение с целью выбора свободного действия, нападение быстрым прорывом, организация командных действий против применения быстрого прорыва противника.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Организация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командных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действий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использованием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изученных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групповых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взаимодействий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207FF" w:rsidRPr="00A207FF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№64-69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Тактика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защиты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27" w:type="pct"/>
          </w:tcPr>
          <w:p w:rsidR="00A207FF" w:rsidRPr="00A207FF" w:rsidRDefault="00A207FF" w:rsidP="008111EE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 xml:space="preserve">Индивидуальные действия по умению выбрать место и держать игрока с мячом и без мяча. Выбор места для овладения мячом при передачах и ведении. Противодействия при бросках мяча в корзину.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Противодействие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выходу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на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свободное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место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для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получения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мяча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A207FF" w:rsidRPr="008A412E" w:rsidTr="00A207FF">
        <w:tc>
          <w:tcPr>
            <w:tcW w:w="692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A207FF">
              <w:rPr>
                <w:rFonts w:ascii="Cambria" w:hAnsi="Cambria"/>
                <w:sz w:val="24"/>
                <w:szCs w:val="24"/>
              </w:rPr>
              <w:t>№70</w:t>
            </w:r>
          </w:p>
        </w:tc>
        <w:tc>
          <w:tcPr>
            <w:tcW w:w="520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1" w:type="pct"/>
          </w:tcPr>
          <w:p w:rsidR="00A207FF" w:rsidRPr="00A207FF" w:rsidRDefault="00A207FF" w:rsidP="00A207FF">
            <w:pPr>
              <w:pStyle w:val="aa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Техника</w:t>
            </w:r>
            <w:proofErr w:type="spellEnd"/>
            <w:r w:rsidRPr="00A207F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A207FF">
              <w:rPr>
                <w:rFonts w:ascii="Cambria" w:hAnsi="Cambria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2627" w:type="pct"/>
          </w:tcPr>
          <w:p w:rsidR="00A207FF" w:rsidRPr="00A207FF" w:rsidRDefault="00A207FF" w:rsidP="008111EE">
            <w:pPr>
              <w:pStyle w:val="aa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u-RU"/>
              </w:rPr>
            </w:pPr>
            <w:r w:rsidRPr="00A207FF">
              <w:rPr>
                <w:rFonts w:ascii="Cambria" w:hAnsi="Cambria"/>
                <w:sz w:val="24"/>
                <w:szCs w:val="24"/>
                <w:lang w:val="ru-RU"/>
              </w:rPr>
              <w:t>Техника безопасности на уроках, учебно-тренировочных занятиях, соревнованиях.</w:t>
            </w:r>
          </w:p>
        </w:tc>
      </w:tr>
      <w:tr w:rsidR="008111EE" w:rsidRPr="00A207FF" w:rsidTr="008111EE">
        <w:tc>
          <w:tcPr>
            <w:tcW w:w="5000" w:type="pct"/>
            <w:gridSpan w:val="4"/>
          </w:tcPr>
          <w:p w:rsidR="008111EE" w:rsidRPr="008111EE" w:rsidRDefault="008111EE" w:rsidP="008111EE">
            <w:pPr>
              <w:pStyle w:val="aa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111EE">
              <w:rPr>
                <w:rFonts w:ascii="Cambria" w:hAnsi="Cambria"/>
                <w:b/>
                <w:sz w:val="24"/>
                <w:szCs w:val="24"/>
              </w:rPr>
              <w:t xml:space="preserve">ВСЕГО ЧАСОВ: </w:t>
            </w:r>
            <w:r w:rsidRPr="008111EE">
              <w:rPr>
                <w:rFonts w:ascii="Cambria" w:hAnsi="Cambria"/>
                <w:b/>
                <w:sz w:val="24"/>
                <w:szCs w:val="24"/>
              </w:rPr>
              <w:tab/>
              <w:t>70</w:t>
            </w:r>
          </w:p>
        </w:tc>
      </w:tr>
    </w:tbl>
    <w:p w:rsid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lang w:val="ru-RU"/>
        </w:rPr>
      </w:pPr>
    </w:p>
    <w:p w:rsid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lang w:val="ru-RU"/>
        </w:rPr>
      </w:pPr>
    </w:p>
    <w:p w:rsidR="00A207FF" w:rsidRP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lang w:val="ru-RU"/>
        </w:rPr>
      </w:pPr>
    </w:p>
    <w:p w:rsidR="00A207FF" w:rsidRDefault="00A207FF" w:rsidP="00A207FF">
      <w:pPr>
        <w:pStyle w:val="aa"/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val="ru-RU"/>
        </w:rPr>
      </w:pPr>
      <w:r w:rsidRPr="00A207FF">
        <w:rPr>
          <w:rFonts w:ascii="Cambria" w:eastAsia="Times New Roman" w:hAnsi="Cambria"/>
          <w:sz w:val="24"/>
          <w:szCs w:val="24"/>
          <w:lang w:val="ru-RU"/>
        </w:rPr>
        <w:t xml:space="preserve"> </w:t>
      </w:r>
    </w:p>
    <w:sectPr w:rsidR="00A207FF" w:rsidSect="005D2FF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0DAF"/>
    <w:multiLevelType w:val="multilevel"/>
    <w:tmpl w:val="56EA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A5653"/>
    <w:multiLevelType w:val="multilevel"/>
    <w:tmpl w:val="0DE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238DC"/>
    <w:multiLevelType w:val="hybridMultilevel"/>
    <w:tmpl w:val="62D4CE78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6B44BB"/>
    <w:multiLevelType w:val="multilevel"/>
    <w:tmpl w:val="F0605D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77"/>
    <w:rsid w:val="00281FBB"/>
    <w:rsid w:val="002B252E"/>
    <w:rsid w:val="003D0ACB"/>
    <w:rsid w:val="0041273C"/>
    <w:rsid w:val="004A1ECA"/>
    <w:rsid w:val="005145E6"/>
    <w:rsid w:val="00514D55"/>
    <w:rsid w:val="005D2FF8"/>
    <w:rsid w:val="005F4356"/>
    <w:rsid w:val="00684AEE"/>
    <w:rsid w:val="006D70E8"/>
    <w:rsid w:val="00796A00"/>
    <w:rsid w:val="007F01BE"/>
    <w:rsid w:val="008111EE"/>
    <w:rsid w:val="00880639"/>
    <w:rsid w:val="008A412E"/>
    <w:rsid w:val="008A4975"/>
    <w:rsid w:val="00975B80"/>
    <w:rsid w:val="009771A0"/>
    <w:rsid w:val="009A5E4A"/>
    <w:rsid w:val="00A17C35"/>
    <w:rsid w:val="00A207FF"/>
    <w:rsid w:val="00A53BE3"/>
    <w:rsid w:val="00A74751"/>
    <w:rsid w:val="00AF11F0"/>
    <w:rsid w:val="00B42940"/>
    <w:rsid w:val="00B923E8"/>
    <w:rsid w:val="00BB3BD0"/>
    <w:rsid w:val="00C070F7"/>
    <w:rsid w:val="00CC25FD"/>
    <w:rsid w:val="00CC7A79"/>
    <w:rsid w:val="00D068C7"/>
    <w:rsid w:val="00D75C77"/>
    <w:rsid w:val="00E16967"/>
    <w:rsid w:val="00E43734"/>
    <w:rsid w:val="00E52607"/>
    <w:rsid w:val="00E71AF5"/>
    <w:rsid w:val="00ED4013"/>
    <w:rsid w:val="00EF216B"/>
    <w:rsid w:val="00F21BFA"/>
    <w:rsid w:val="00F331FE"/>
    <w:rsid w:val="00F50D9A"/>
    <w:rsid w:val="00F72939"/>
    <w:rsid w:val="00FB69FC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A31AF-265F-478C-800D-88CD590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7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1FBB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BB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B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BB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BB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B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FBB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FBB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FBB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F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F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1FB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1F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81FB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81FB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81FB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81FB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FB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A53BE3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FBB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FB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FBB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281FB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81FBB"/>
    <w:rPr>
      <w:b/>
      <w:bCs/>
    </w:rPr>
  </w:style>
  <w:style w:type="character" w:styleId="a9">
    <w:name w:val="Emphasis"/>
    <w:uiPriority w:val="20"/>
    <w:qFormat/>
    <w:rsid w:val="00281F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81FBB"/>
    <w:rPr>
      <w:rFonts w:eastAsia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281FBB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281FBB"/>
    <w:pPr>
      <w:spacing w:before="200" w:line="276" w:lineRule="auto"/>
      <w:ind w:left="360" w:right="360"/>
    </w:pPr>
    <w:rPr>
      <w:rFonts w:eastAsiaTheme="minorHAnsi" w:cstheme="minorBidi"/>
      <w:i/>
      <w:iCs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281FB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81FB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81FBB"/>
    <w:rPr>
      <w:b/>
      <w:bCs/>
      <w:i/>
      <w:iCs/>
    </w:rPr>
  </w:style>
  <w:style w:type="character" w:styleId="ae">
    <w:name w:val="Subtle Emphasis"/>
    <w:uiPriority w:val="19"/>
    <w:qFormat/>
    <w:rsid w:val="00281FBB"/>
    <w:rPr>
      <w:i/>
      <w:iCs/>
    </w:rPr>
  </w:style>
  <w:style w:type="character" w:styleId="af">
    <w:name w:val="Intense Emphasis"/>
    <w:uiPriority w:val="21"/>
    <w:qFormat/>
    <w:rsid w:val="00281FBB"/>
    <w:rPr>
      <w:b/>
      <w:bCs/>
    </w:rPr>
  </w:style>
  <w:style w:type="character" w:styleId="af0">
    <w:name w:val="Subtle Reference"/>
    <w:uiPriority w:val="31"/>
    <w:qFormat/>
    <w:rsid w:val="00281FBB"/>
    <w:rPr>
      <w:smallCaps/>
    </w:rPr>
  </w:style>
  <w:style w:type="character" w:styleId="af1">
    <w:name w:val="Intense Reference"/>
    <w:uiPriority w:val="32"/>
    <w:qFormat/>
    <w:rsid w:val="00281FBB"/>
    <w:rPr>
      <w:smallCaps/>
      <w:spacing w:val="5"/>
      <w:u w:val="single"/>
    </w:rPr>
  </w:style>
  <w:style w:type="character" w:styleId="af2">
    <w:name w:val="Book Title"/>
    <w:uiPriority w:val="33"/>
    <w:qFormat/>
    <w:rsid w:val="00281FB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FBB"/>
    <w:pPr>
      <w:outlineLvl w:val="9"/>
    </w:pPr>
  </w:style>
  <w:style w:type="table" w:styleId="af4">
    <w:name w:val="Table Grid"/>
    <w:basedOn w:val="a1"/>
    <w:uiPriority w:val="59"/>
    <w:rsid w:val="005D2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basedOn w:val="a1"/>
    <w:uiPriority w:val="42"/>
    <w:rsid w:val="00A20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8A412E"/>
    <w:rPr>
      <w:rFonts w:ascii="Arial" w:hAnsi="Arial" w:cs="Arial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412E"/>
    <w:rPr>
      <w:rFonts w:ascii="Arial" w:eastAsiaTheme="minorEastAsia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3</cp:revision>
  <cp:lastPrinted>2017-09-29T10:30:00Z</cp:lastPrinted>
  <dcterms:created xsi:type="dcterms:W3CDTF">2017-09-05T17:18:00Z</dcterms:created>
  <dcterms:modified xsi:type="dcterms:W3CDTF">2017-09-29T10:31:00Z</dcterms:modified>
</cp:coreProperties>
</file>